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56D1D" w14:textId="3B9578D5" w:rsidR="00A30116" w:rsidRDefault="00A30116" w:rsidP="00A30116">
      <w:pPr>
        <w:jc w:val="center"/>
      </w:pPr>
      <w:r>
        <w:t xml:space="preserve">Technology </w:t>
      </w:r>
      <w:r w:rsidR="001A6753">
        <w:t xml:space="preserve">Core Competency </w:t>
      </w:r>
      <w:r w:rsidR="004F5BDF">
        <w:t>Assignment</w:t>
      </w:r>
      <w:r>
        <w:t xml:space="preserve"> </w:t>
      </w:r>
    </w:p>
    <w:p w14:paraId="66A95568" w14:textId="23637DFF" w:rsidR="00A30116" w:rsidRDefault="00A30116" w:rsidP="00A30116">
      <w:pPr>
        <w:jc w:val="center"/>
      </w:pPr>
      <w:r>
        <w:t>Course 701</w:t>
      </w:r>
    </w:p>
    <w:p w14:paraId="36E9D276" w14:textId="77777777" w:rsidR="00A30116" w:rsidRDefault="00A30116" w:rsidP="00A30116"/>
    <w:p w14:paraId="07958CD4" w14:textId="59FE78A1" w:rsidR="00A30116" w:rsidRDefault="00A30116" w:rsidP="00A30116">
      <w:r>
        <w:t>According to ALA, artificial intelligence, "seeks to create</w:t>
      </w:r>
      <w:r w:rsidR="00C26CBD">
        <w:t>,</w:t>
      </w:r>
      <w:r>
        <w:t xml:space="preserve"> "intelligent" machines that work and react more like humans. AI developments rely on deep learning, machine learning, and natural language processing that help computers accomplish specific tasks by processing large amounts of training data to help the system recognize patterns, input data to drive predictions, and feedback for producing accuracy over time, (ALA. (2018). Artificial Intelligance.</w:t>
      </w:r>
    </w:p>
    <w:p w14:paraId="38B8ADBF" w14:textId="0F7B1BD7" w:rsidR="00A30116" w:rsidRDefault="00A30116" w:rsidP="00A30116">
      <w:r>
        <w:t xml:space="preserve">According to ALA, A recent victory of an artificial intelligence program playing the game </w:t>
      </w:r>
      <w:r w:rsidR="00C26CBD">
        <w:t>“</w:t>
      </w:r>
      <w:r>
        <w:t>Go</w:t>
      </w:r>
      <w:r w:rsidR="00C26CBD">
        <w:t>”</w:t>
      </w:r>
      <w:r>
        <w:t xml:space="preserve"> against world champion Lee Sodel, marks the beginning of artificial intelligence being just as creative and almost as cognizant as a human. This program, Alpha-Go, then had another victory defeating a team of five “Go” champions, “demonstrating a collaborative match where two teams, each composed of a human and an Alpha-Go companion, played against each other,” (ALA. (2018). Artificial Intelligance.</w:t>
      </w:r>
    </w:p>
    <w:p w14:paraId="2632DA08" w14:textId="39436E4B" w:rsidR="00A30116" w:rsidRDefault="00A30116" w:rsidP="00A30116">
      <w:r>
        <w:t xml:space="preserve">When it comes to artificial intelligence in a library setting I would wonder how well and how ethical it would be to replace librarians with artificial intelligence. The ethical issues artificial intelligence would face would be whether they are replacing jobs that librarians have and, just as critical, whether they could be tampered with by patrons who have less than ethical intentions. Such tampering, as well as ethics, has been explored in popular culture such as Isaac Asimov’s three laws of robotics first presented in his book, </w:t>
      </w:r>
      <w:r w:rsidR="00554F39">
        <w:t>“</w:t>
      </w:r>
      <w:r>
        <w:t>I Robot,</w:t>
      </w:r>
      <w:r w:rsidR="00554F39">
        <w:t>”</w:t>
      </w:r>
      <w:r>
        <w:t xml:space="preserve"> along with a film by the same name in 2004, Artificially intelligent androids in 2014 film </w:t>
      </w:r>
      <w:r w:rsidR="00554F39">
        <w:t>“</w:t>
      </w:r>
      <w:r>
        <w:t>Ex Machina</w:t>
      </w:r>
      <w:r w:rsidR="00554F39">
        <w:t>”</w:t>
      </w:r>
      <w:r>
        <w:t xml:space="preserve"> with Domnall Gleason, 1999 film </w:t>
      </w:r>
      <w:r w:rsidR="00554F39">
        <w:t>“</w:t>
      </w:r>
      <w:r>
        <w:t>Bicentennial Man</w:t>
      </w:r>
      <w:r w:rsidR="00554F39">
        <w:t>”</w:t>
      </w:r>
      <w:r>
        <w:t xml:space="preserve"> with Robin Williams, and the 2002 film, </w:t>
      </w:r>
      <w:r w:rsidR="00554F39">
        <w:t>“</w:t>
      </w:r>
      <w:r>
        <w:t>The Time Machine</w:t>
      </w:r>
      <w:r w:rsidR="00554F39">
        <w:t>”</w:t>
      </w:r>
      <w:r>
        <w:t xml:space="preserve"> with Guy Pearce, based off of the novel by H.G. Wells. In all of these films the ethics of artificial intelligence are explored, however, only in The Time machine is explored a holographic librarian, an artificial intelligence, manages a library,” (ALA. (2018). Artificial Intelligance.</w:t>
      </w:r>
    </w:p>
    <w:p w14:paraId="67808A5F" w14:textId="77777777" w:rsidR="00B25035" w:rsidRDefault="00A30116" w:rsidP="00A30116">
      <w:r>
        <w:t xml:space="preserve">One case study of libraries dealing with the artificial intelligence trend comes from Azlak Myhre, Director of National Library of Norway at Fantastic Futures 2019: 2nd International Conference on AI for Libraries, Archives, and Museums. Myhre’s mentions the importance of actual human librarians, especially the collections of the wide variety of librarians. Myhre speaks of focusing on the “old” instead of the “new” when it comes to evaluating artificial intelligence in libraries and when we think of how to integrate artificial intelligence into libraries. By old, he means “the knowledge of humankind, all knowledge, all cultures in one place…since Alexandria and even before that” (Myhre, 2). </w:t>
      </w:r>
    </w:p>
    <w:p w14:paraId="07E31FBB" w14:textId="4C2CA346" w:rsidR="00A30116" w:rsidRDefault="00A30116" w:rsidP="00A30116">
      <w:r>
        <w:lastRenderedPageBreak/>
        <w:t>Myhre mentions that as librarians of today, we are “gate-openers” rather than “gate-keepers” of information. That is a large responsibility, which, in my opinion should only be handled by a human rather than an artificial intelligence (Mayhre, 2)</w:t>
      </w:r>
    </w:p>
    <w:p w14:paraId="0235951C" w14:textId="77777777" w:rsidR="00A30116" w:rsidRDefault="00A30116" w:rsidP="00A30116">
      <w:r>
        <w:t>In another article, L. Mirko mentions that “J. C. R. Licklider published a book regarding the “Libraries of the future”. This book was soon almost forgotten when a different paradigm of computing, partially created by Licklider himself, became dominant. However, a re-reading of the book, in hindsight, not only gives a glimpse of a seminal moment in the history human interaction with computers but allows a chance to see in a different light many issues still relevant to the field.”</w:t>
      </w:r>
    </w:p>
    <w:p w14:paraId="665D16DE" w14:textId="5D24C263" w:rsidR="00A30116" w:rsidRDefault="00A30116" w:rsidP="00A30116">
      <w:r>
        <w:t xml:space="preserve">As the text states, “In  the  Fifties,  keeping  track  of  the  way  he  was  spending  his  working  days  as  expert  in psychoacoustics,  Licklider realized  that  a  good  part of  his  time  was  occupied  by  simple  mechanical tasks which did not ask for use of intelligence. He came then to believe that in a reasonable time “most of the tasks (...) of any technical thinker would be performed more effectively by machines” (Rheingold 2000, 134). Reflecting on this, in 1960 Licklider published the seminal paper </w:t>
      </w:r>
      <w:r w:rsidR="00E92A7B">
        <w:t>“</w:t>
      </w:r>
      <w:r>
        <w:t>Man-Computer Symbiosis,</w:t>
      </w:r>
      <w:r w:rsidR="00E92A7B">
        <w:t xml:space="preserve">” </w:t>
      </w:r>
      <w:r>
        <w:t>where he explicitly stated the importance of a direct interaction between the human operator and the machine to improve knowledge work. In this paper, among other things</w:t>
      </w:r>
      <w:r w:rsidR="00FC396A">
        <w:t>,</w:t>
      </w:r>
      <w:r>
        <w:t xml:space="preserve"> Licklider proposed the widespread use of three systems:”</w:t>
      </w:r>
    </w:p>
    <w:p w14:paraId="591E1140" w14:textId="662F1150" w:rsidR="00A30116" w:rsidRDefault="00A30116" w:rsidP="00A30116">
      <w:r>
        <w:t xml:space="preserve">According to Mirko,“ The idea that the computer could and should replace not the scientist, but his aides, at that time was already  the  focus  of the  work  of  other  researchers,  such  as  Douglas  Engelbart.  Licklider,  however, soon  found  himself  in  a  unique  position  that  allowed  him  to  take  mighty  steps  toward  the concretization of his idea: while he was busy writing Libraries of the Future, in October 1962 he became director of the Information Processing Techniques Office (IPTO) of the Pentagon, a structure that in practice was responsible for the allocation of funds from the U.S. Ministry of Defense to the computer industry. Licklider left this place in 1964, but recommended the young Ivan Sutherland as his substitute for this post. In 1965 Sutherland himself was replaced as director of the IPTO not by a computer scientist, but by another expert in psychoacoustics: Robert Taylor, who followed scrupulously the search paths set by  Licklider,  of  which  he  was  indirectly  a  student  (Hiltzik  1999,  15;  in  his  new  role,  among  other things, Taylor was one of the main supporters of the work of Engelbart in 1967: Bardini 2000, 23). In the funding policy of the IPTO, following the guidelines set in Libraries of the Future, a central role was given to taskslike the production of computers capable of time-sharing and of interacting through graphic displays, or as the creation of ARPAnet, the first embryo of the Internet.In Licklider’s vision, however, those bold moves were meant only as a section of a wider restructuring of knowledge work. From this more general point of view, Libraries of the </w:t>
      </w:r>
      <w:r>
        <w:lastRenderedPageBreak/>
        <w:t>Future constituted an eerily prescient  description  of  some  fields  of  study  that  were  developed  independently  in  the  following decades. In the book, in particular, Licklider described in full detail the composition and the working ways of a “procognitive system”. In this system, real-time computer networks and sophisticated tools of  input  and  output  were  linked  to  natural  language  processing  tools  and  to  wide  repositories  of information archived in machine-readable format. Licklider  remained  faithful  to  the  vision  described  in Man-Computer  Symbiosis up  to  the  end  of  the Sixties: in 1968, the cartoons in The Computer as a Communication Device still show products strictly related to the systems 1 (upright, with the addition of a keyboard) and 2 as described in 1968. In the new paper, however, no reference was made to “automatic speech production and recognition” –an omission probably related both to the idea that the computer should be used as a communication device between human beings and to the problems that this stream of development was facing at the time.”</w:t>
      </w:r>
    </w:p>
    <w:p w14:paraId="71889A57" w14:textId="77777777" w:rsidR="00A30116" w:rsidRDefault="00A30116" w:rsidP="00A30116"/>
    <w:p w14:paraId="2446A807" w14:textId="4D55D229" w:rsidR="00A30116" w:rsidRDefault="00A30116" w:rsidP="00A30116">
      <w:r>
        <w:t>In this excerpt I can somewhat deduce that the development of ai and the computer from the 1960s on was somewhat inevitable if the Pentagon had been working on such projects. However, it can be seen that in early development of such a project, not all outcomes are foreseeable, for example “automatic speech production and communication” for and as artificial intelligence was not recognized as a possibility because the focus at the time was on computers as communication devices between human beings. Because artificial intelligence was not as foreseeable as it could have been, I believe library and information scientists should always be on the lookout for future artificial intelligence work and systems and should always deal as ethically as possible with such technology. It seems that LIcklider was not as interested in the ethical side of the creation of artificial intelligence, and I believe, as information science professionals we should always take into account the human cost, such as job loss created by the use of artificial intelligence.</w:t>
      </w:r>
    </w:p>
    <w:p w14:paraId="45A8E52A" w14:textId="77777777" w:rsidR="00A30116" w:rsidRDefault="00A30116" w:rsidP="00A30116">
      <w:r>
        <w:t>I am mostly optimistic, but a little pessimistic about libraries adopting artificial intelligence in place of human librarians. I would hope that artificial intelligence does not take the place of jobs for human librarians. However, I can see how very advanced artificial intelligence could be beneficial to patrons.</w:t>
      </w:r>
    </w:p>
    <w:p w14:paraId="7B6C672D" w14:textId="77777777" w:rsidR="00A30116" w:rsidRDefault="00A30116" w:rsidP="00A30116"/>
    <w:p w14:paraId="23E2A91E" w14:textId="77777777" w:rsidR="000C2039" w:rsidRDefault="000C2039" w:rsidP="00A30116"/>
    <w:p w14:paraId="1A7918EB" w14:textId="77777777" w:rsidR="000C2039" w:rsidRDefault="000C2039" w:rsidP="00A30116"/>
    <w:p w14:paraId="313403F6" w14:textId="77777777" w:rsidR="000C2039" w:rsidRDefault="000C2039" w:rsidP="00A30116"/>
    <w:p w14:paraId="08BF3145" w14:textId="32BDAA1E" w:rsidR="00A30116" w:rsidRDefault="00A30116" w:rsidP="002D66B2">
      <w:pPr>
        <w:jc w:val="center"/>
      </w:pPr>
      <w:r>
        <w:lastRenderedPageBreak/>
        <w:t>Sources Cited</w:t>
      </w:r>
    </w:p>
    <w:p w14:paraId="7526A00F" w14:textId="77777777" w:rsidR="00A30116" w:rsidRDefault="00A30116" w:rsidP="00A30116">
      <w:r>
        <w:t>ALA. (2018). Artificial Intelligance.</w:t>
      </w:r>
    </w:p>
    <w:p w14:paraId="4EEDE6A1" w14:textId="76F225E7" w:rsidR="00A30116" w:rsidRDefault="00A30116" w:rsidP="00A30116">
      <w:r>
        <w:t>Mirko L. A. Tavosanis (2017) University of Pisa, Italy</w:t>
      </w:r>
    </w:p>
    <w:p w14:paraId="4C89F32A" w14:textId="2878847E" w:rsidR="00A30116" w:rsidRDefault="00A30116" w:rsidP="00A30116">
      <w:r>
        <w:t>Myhre, A. (2020). Transcript of Speech by Aslak Myhre, Director of National Library of Norway, at Fantastic Futures 2019: 2nd International Conference on AI for Libraries, Archives, and Museums. International Journal of Librarianship, 5(1), 4–7.</w:t>
      </w:r>
    </w:p>
    <w:sectPr w:rsidR="00A30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16"/>
    <w:rsid w:val="000C2039"/>
    <w:rsid w:val="001A6753"/>
    <w:rsid w:val="002D66B2"/>
    <w:rsid w:val="00473120"/>
    <w:rsid w:val="004F5BDF"/>
    <w:rsid w:val="00554F39"/>
    <w:rsid w:val="00A30116"/>
    <w:rsid w:val="00B25035"/>
    <w:rsid w:val="00C1230A"/>
    <w:rsid w:val="00C26CBD"/>
    <w:rsid w:val="00C66CA6"/>
    <w:rsid w:val="00E92A7B"/>
    <w:rsid w:val="00F01101"/>
    <w:rsid w:val="00F87C14"/>
    <w:rsid w:val="00FC3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F3FAE"/>
  <w15:chartTrackingRefBased/>
  <w15:docId w15:val="{28BA3BBA-1D55-4BA9-AB8C-2CDED401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1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1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1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1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1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1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1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1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1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1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1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1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1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1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1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116"/>
    <w:rPr>
      <w:rFonts w:eastAsiaTheme="majorEastAsia" w:cstheme="majorBidi"/>
      <w:color w:val="272727" w:themeColor="text1" w:themeTint="D8"/>
    </w:rPr>
  </w:style>
  <w:style w:type="paragraph" w:styleId="Title">
    <w:name w:val="Title"/>
    <w:basedOn w:val="Normal"/>
    <w:next w:val="Normal"/>
    <w:link w:val="TitleChar"/>
    <w:uiPriority w:val="10"/>
    <w:qFormat/>
    <w:rsid w:val="00A30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1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1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116"/>
    <w:pPr>
      <w:spacing w:before="160"/>
      <w:jc w:val="center"/>
    </w:pPr>
    <w:rPr>
      <w:i/>
      <w:iCs/>
      <w:color w:val="404040" w:themeColor="text1" w:themeTint="BF"/>
    </w:rPr>
  </w:style>
  <w:style w:type="character" w:customStyle="1" w:styleId="QuoteChar">
    <w:name w:val="Quote Char"/>
    <w:basedOn w:val="DefaultParagraphFont"/>
    <w:link w:val="Quote"/>
    <w:uiPriority w:val="29"/>
    <w:rsid w:val="00A30116"/>
    <w:rPr>
      <w:i/>
      <w:iCs/>
      <w:color w:val="404040" w:themeColor="text1" w:themeTint="BF"/>
    </w:rPr>
  </w:style>
  <w:style w:type="paragraph" w:styleId="ListParagraph">
    <w:name w:val="List Paragraph"/>
    <w:basedOn w:val="Normal"/>
    <w:uiPriority w:val="34"/>
    <w:qFormat/>
    <w:rsid w:val="00A30116"/>
    <w:pPr>
      <w:ind w:left="720"/>
      <w:contextualSpacing/>
    </w:pPr>
  </w:style>
  <w:style w:type="character" w:styleId="IntenseEmphasis">
    <w:name w:val="Intense Emphasis"/>
    <w:basedOn w:val="DefaultParagraphFont"/>
    <w:uiPriority w:val="21"/>
    <w:qFormat/>
    <w:rsid w:val="00A30116"/>
    <w:rPr>
      <w:i/>
      <w:iCs/>
      <w:color w:val="0F4761" w:themeColor="accent1" w:themeShade="BF"/>
    </w:rPr>
  </w:style>
  <w:style w:type="paragraph" w:styleId="IntenseQuote">
    <w:name w:val="Intense Quote"/>
    <w:basedOn w:val="Normal"/>
    <w:next w:val="Normal"/>
    <w:link w:val="IntenseQuoteChar"/>
    <w:uiPriority w:val="30"/>
    <w:qFormat/>
    <w:rsid w:val="00A30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116"/>
    <w:rPr>
      <w:i/>
      <w:iCs/>
      <w:color w:val="0F4761" w:themeColor="accent1" w:themeShade="BF"/>
    </w:rPr>
  </w:style>
  <w:style w:type="character" w:styleId="IntenseReference">
    <w:name w:val="Intense Reference"/>
    <w:basedOn w:val="DefaultParagraphFont"/>
    <w:uiPriority w:val="32"/>
    <w:qFormat/>
    <w:rsid w:val="00A301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1380</Words>
  <Characters>7387</Characters>
  <Application>Microsoft Office Word</Application>
  <DocSecurity>0</DocSecurity>
  <Lines>113</Lines>
  <Paragraphs>19</Paragraphs>
  <ScaleCrop>false</ScaleCrop>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Endicott</dc:creator>
  <cp:keywords/>
  <dc:description/>
  <cp:lastModifiedBy>Heather Endicott</cp:lastModifiedBy>
  <cp:revision>4</cp:revision>
  <dcterms:created xsi:type="dcterms:W3CDTF">2025-09-06T20:48:00Z</dcterms:created>
  <dcterms:modified xsi:type="dcterms:W3CDTF">2025-09-06T20:48:00Z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6bcd5145-e35c-4110-b6d2-4256531fb8da</vt:lpwstr>
  </property>
</Properties>
</file>